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D57" w:rsidRPr="00680D57" w:rsidRDefault="00680D57" w:rsidP="00680D57">
      <w:pPr>
        <w:pStyle w:val="Sinespaciado"/>
        <w:jc w:val="center"/>
        <w:rPr>
          <w:rFonts w:ascii="Arial" w:hAnsi="Arial" w:cs="Arial"/>
          <w:b/>
          <w:sz w:val="24"/>
          <w:szCs w:val="24"/>
        </w:rPr>
      </w:pPr>
      <w:bookmarkStart w:id="0" w:name="_GoBack"/>
      <w:r w:rsidRPr="00680D57">
        <w:rPr>
          <w:rFonts w:ascii="Arial" w:hAnsi="Arial" w:cs="Arial"/>
          <w:b/>
          <w:sz w:val="24"/>
          <w:szCs w:val="24"/>
        </w:rPr>
        <w:t>ANA PATY PERALTA, ALIADA PERMANENTE DE LAS MUJERES</w:t>
      </w:r>
    </w:p>
    <w:bookmarkEnd w:id="0"/>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numPr>
          <w:ilvl w:val="0"/>
          <w:numId w:val="2"/>
        </w:numPr>
        <w:jc w:val="both"/>
        <w:rPr>
          <w:rFonts w:ascii="Arial" w:hAnsi="Arial" w:cs="Arial"/>
          <w:sz w:val="24"/>
          <w:szCs w:val="24"/>
        </w:rPr>
      </w:pPr>
      <w:r w:rsidRPr="00680D57">
        <w:rPr>
          <w:rFonts w:ascii="Arial" w:hAnsi="Arial" w:cs="Arial"/>
          <w:sz w:val="24"/>
          <w:szCs w:val="24"/>
        </w:rPr>
        <w:t xml:space="preserve">La Presidenta Municipal redobla su compromiso con este sector de la población al haber decretado el 2025 como el Año de las Mujeres y crear la Comisión “Mujer Segura”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numPr>
          <w:ilvl w:val="0"/>
          <w:numId w:val="2"/>
        </w:numPr>
        <w:jc w:val="both"/>
        <w:rPr>
          <w:rFonts w:ascii="Arial" w:hAnsi="Arial" w:cs="Arial"/>
          <w:sz w:val="24"/>
          <w:szCs w:val="24"/>
        </w:rPr>
      </w:pPr>
      <w:r w:rsidRPr="00680D57">
        <w:rPr>
          <w:rFonts w:ascii="Arial" w:hAnsi="Arial" w:cs="Arial"/>
          <w:sz w:val="24"/>
          <w:szCs w:val="24"/>
        </w:rPr>
        <w:t xml:space="preserve">Imparten conferencia “Violencia política contra las mujeres y perspectiva de género” a servidores públicos para hacer del Ayuntamiento un lugar seguro para este sector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b/>
          <w:sz w:val="24"/>
          <w:szCs w:val="24"/>
        </w:rPr>
        <w:t>Cancún, Q. R., a 26 de febrero de 2025.-</w:t>
      </w:r>
      <w:r w:rsidRPr="00680D57">
        <w:rPr>
          <w:rFonts w:ascii="Arial" w:hAnsi="Arial" w:cs="Arial"/>
          <w:sz w:val="24"/>
          <w:szCs w:val="24"/>
        </w:rPr>
        <w:t xml:space="preserve"> “Como regidora, diputada local, diputada federal y hoy presidenta municipal siempre he defendido con firmeza la participación de las mujeres en la toma de decisiones. El futuro de Cancún necesita más mujeres liderando, participando y transformando”, afirmó la Presidenta Municipal, Ana Paty Peralta, previo al inicio de la conferencia: “Violencia política contra las mujeres y perspectiva de género”, dirigida a servidoras públicas de la administración.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En el Teatro “8 de octubre”, Ana Paty Peralta manifestó que ejemplo de lo anterior, fue cuando impulsó hace más de siete años la tipificación de la violencia política de género en Quintana Roo, al ser una necesidad real ya muchas féminas habían sido víctimas de agresiones, por lo que en la administración actual que encabeza, no basta con decir que se busca un municipio libre de violencia, sino se demuestra con hechos.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“Acabamos de declarar por primera vez este 2025 como 'Año de las Mujeres'; creamos la comisión 'Mujer Segura' y pusimos en marcha el Sistema Municipal de Prevención, Atención, Sanción y Erradicación de la Violencia contra las Mujeres (PASEV) para que todas las dependencias trabajen juntas en prevenir, atender y sancionar la violencia de género”, enfatizó.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Indicó que los servidores públicos juegan un papel clave, por lo que además de ser ejemplo de una labor con perspectiva de género, deben procurar que el Ayuntamiento sea un espacio seguro donde no haya cabida a la discriminación, el acoso o cualquier forma de agresión, ni hacia compañeras ni hacia la ciudadanía en general.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De igual forma, la Primera Autoridad Municipal destacó que tuvieron que pasar 200 años para que México tuviera su primera mujer presidenta, la Dra. Claudia </w:t>
      </w:r>
      <w:proofErr w:type="spellStart"/>
      <w:r w:rsidRPr="00680D57">
        <w:rPr>
          <w:rFonts w:ascii="Arial" w:hAnsi="Arial" w:cs="Arial"/>
          <w:sz w:val="24"/>
          <w:szCs w:val="24"/>
        </w:rPr>
        <w:t>Sheinbaum</w:t>
      </w:r>
      <w:proofErr w:type="spellEnd"/>
      <w:r w:rsidRPr="00680D57">
        <w:rPr>
          <w:rFonts w:ascii="Arial" w:hAnsi="Arial" w:cs="Arial"/>
          <w:sz w:val="24"/>
          <w:szCs w:val="24"/>
        </w:rPr>
        <w:t xml:space="preserve">; y en Quintana Roo, 50 años para la primer gobernadora que es Mara Lezama, por ello se debe seguir abriendo brecha con la visión de forjar un futuro para miles de niñas que merecen igualdad, respeto, justicia y oportunidades. </w:t>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“Así como en Quintana Roo, el 64% de los cargos de elección popular son ocupados por mujeres, en nuestro gobierno municipal, como nunca antes, hay más mujeres en posiciones clave: en Cabildo, en las direcciones, en las secretarías. Pero no se trata solo de números, sino resultado del esfuerzo, de la preparación y del trabajo de muchas mujeres que han demostrado con hechos su capacidad de liderazgo”, subrayó.</w:t>
      </w:r>
      <w:r w:rsidRPr="00680D57">
        <w:rPr>
          <w:rFonts w:ascii="Arial" w:hAnsi="Arial" w:cs="Arial"/>
          <w:sz w:val="24"/>
          <w:szCs w:val="24"/>
        </w:rPr>
        <w:tab/>
      </w:r>
    </w:p>
    <w:p w:rsidR="00680D57" w:rsidRP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La directora general de Asuntos Jurídicos, Adriana </w:t>
      </w:r>
      <w:proofErr w:type="spellStart"/>
      <w:r w:rsidRPr="00680D57">
        <w:rPr>
          <w:rFonts w:ascii="Arial" w:hAnsi="Arial" w:cs="Arial"/>
          <w:sz w:val="24"/>
          <w:szCs w:val="24"/>
        </w:rPr>
        <w:t>Lucelli</w:t>
      </w:r>
      <w:proofErr w:type="spellEnd"/>
      <w:r w:rsidRPr="00680D57">
        <w:rPr>
          <w:rFonts w:ascii="Arial" w:hAnsi="Arial" w:cs="Arial"/>
          <w:sz w:val="24"/>
          <w:szCs w:val="24"/>
        </w:rPr>
        <w:t xml:space="preserve"> Canche </w:t>
      </w:r>
      <w:r w:rsidRPr="00680D57">
        <w:rPr>
          <w:rFonts w:ascii="Arial" w:hAnsi="Arial" w:cs="Arial"/>
          <w:sz w:val="24"/>
          <w:szCs w:val="24"/>
        </w:rPr>
        <w:t>Solís</w:t>
      </w:r>
      <w:r w:rsidRPr="00680D57">
        <w:rPr>
          <w:rFonts w:ascii="Arial" w:hAnsi="Arial" w:cs="Arial"/>
          <w:sz w:val="24"/>
          <w:szCs w:val="24"/>
        </w:rPr>
        <w:t xml:space="preserve">, explicó que dicha ponencia es parte de los compromisos por el conocimiento jurídico de temas de relevancia, así como para salvaguardar los derechos humanos de las personas y trabajar para erradicar la violencia, ya que la mejor vacuna contra esa problemática es la educación. </w:t>
      </w:r>
    </w:p>
    <w:p w:rsidR="00680D57" w:rsidRPr="00680D57" w:rsidRDefault="00680D57" w:rsidP="00680D57">
      <w:pPr>
        <w:pStyle w:val="Sinespaciado"/>
        <w:jc w:val="both"/>
        <w:rPr>
          <w:rFonts w:ascii="Arial" w:hAnsi="Arial" w:cs="Arial"/>
          <w:sz w:val="24"/>
          <w:szCs w:val="24"/>
        </w:rPr>
      </w:pPr>
    </w:p>
    <w:p w:rsidR="00680D57" w:rsidRDefault="00680D57" w:rsidP="00680D57">
      <w:pPr>
        <w:pStyle w:val="Sinespaciado"/>
        <w:jc w:val="both"/>
        <w:rPr>
          <w:rFonts w:ascii="Arial" w:hAnsi="Arial" w:cs="Arial"/>
          <w:sz w:val="24"/>
          <w:szCs w:val="24"/>
        </w:rPr>
      </w:pPr>
      <w:r w:rsidRPr="00680D57">
        <w:rPr>
          <w:rFonts w:ascii="Arial" w:hAnsi="Arial" w:cs="Arial"/>
          <w:sz w:val="24"/>
          <w:szCs w:val="24"/>
        </w:rPr>
        <w:t xml:space="preserve">Posteriormente, alrededor de 75 servidores públicos de varias dependencias escucharon la ponencia de la Dra. </w:t>
      </w:r>
      <w:proofErr w:type="spellStart"/>
      <w:r w:rsidRPr="00680D57">
        <w:rPr>
          <w:rFonts w:ascii="Arial" w:hAnsi="Arial" w:cs="Arial"/>
          <w:sz w:val="24"/>
          <w:szCs w:val="24"/>
        </w:rPr>
        <w:t>Roselia</w:t>
      </w:r>
      <w:proofErr w:type="spellEnd"/>
      <w:r w:rsidRPr="00680D57">
        <w:rPr>
          <w:rFonts w:ascii="Arial" w:hAnsi="Arial" w:cs="Arial"/>
          <w:sz w:val="24"/>
          <w:szCs w:val="24"/>
        </w:rPr>
        <w:t xml:space="preserve"> Bustillo Marín, </w:t>
      </w:r>
      <w:proofErr w:type="spellStart"/>
      <w:r w:rsidRPr="00680D57">
        <w:rPr>
          <w:rFonts w:ascii="Arial" w:hAnsi="Arial" w:cs="Arial"/>
          <w:sz w:val="24"/>
          <w:szCs w:val="24"/>
        </w:rPr>
        <w:t>doctorante</w:t>
      </w:r>
      <w:proofErr w:type="spellEnd"/>
      <w:r w:rsidRPr="00680D57">
        <w:rPr>
          <w:rFonts w:ascii="Arial" w:hAnsi="Arial" w:cs="Arial"/>
          <w:sz w:val="24"/>
          <w:szCs w:val="24"/>
        </w:rPr>
        <w:t xml:space="preserve"> en Antropología, por la Universidad Autónoma de México; maestra en Derechos Constitucional por la Universidad Iberoamericana, la Universidad Complutense de Madrid y el Centro de Estudios Constitucionales y Políticos de Madrid; así como catedrática de la Universidad Iberoamericana, especialista en derecho electoral, escritora de 12 libros de derecho; más de 30 artículos académicos.</w:t>
      </w:r>
    </w:p>
    <w:p w:rsidR="00680D57" w:rsidRDefault="00680D57" w:rsidP="00680D57">
      <w:pPr>
        <w:pStyle w:val="Sinespaciado"/>
        <w:jc w:val="both"/>
        <w:rPr>
          <w:rFonts w:ascii="Arial" w:hAnsi="Arial" w:cs="Arial"/>
          <w:sz w:val="24"/>
          <w:szCs w:val="24"/>
        </w:rPr>
      </w:pPr>
    </w:p>
    <w:p w:rsidR="00680D57" w:rsidRDefault="00680D57" w:rsidP="00680D57">
      <w:pPr>
        <w:pStyle w:val="Sinespaciado"/>
        <w:jc w:val="both"/>
        <w:rPr>
          <w:rFonts w:ascii="Arial" w:hAnsi="Arial" w:cs="Arial"/>
          <w:sz w:val="24"/>
          <w:szCs w:val="24"/>
        </w:rPr>
      </w:pPr>
    </w:p>
    <w:p w:rsidR="00680D57" w:rsidRPr="00680D57" w:rsidRDefault="00680D57" w:rsidP="00680D57">
      <w:pPr>
        <w:pStyle w:val="Sinespaciado"/>
        <w:jc w:val="center"/>
        <w:rPr>
          <w:rFonts w:ascii="Arial" w:hAnsi="Arial" w:cs="Arial"/>
          <w:sz w:val="24"/>
          <w:szCs w:val="24"/>
        </w:rPr>
      </w:pPr>
      <w:r>
        <w:rPr>
          <w:rFonts w:ascii="Arial" w:hAnsi="Arial" w:cs="Arial"/>
          <w:sz w:val="24"/>
          <w:szCs w:val="24"/>
        </w:rPr>
        <w:t>***********</w:t>
      </w:r>
    </w:p>
    <w:p w:rsidR="00680D57" w:rsidRPr="00680D57" w:rsidRDefault="00680D57">
      <w:pPr>
        <w:pStyle w:val="Sinespaciado"/>
        <w:jc w:val="both"/>
        <w:rPr>
          <w:rFonts w:ascii="Arial" w:hAnsi="Arial" w:cs="Arial"/>
          <w:sz w:val="24"/>
          <w:szCs w:val="24"/>
        </w:rPr>
      </w:pPr>
    </w:p>
    <w:sectPr w:rsidR="00680D57" w:rsidRPr="00680D57"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E0" w:rsidRDefault="008468E0">
      <w:r>
        <w:separator/>
      </w:r>
    </w:p>
  </w:endnote>
  <w:endnote w:type="continuationSeparator" w:id="0">
    <w:p w:rsidR="008468E0" w:rsidRDefault="00846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Piedepgina"/>
    </w:pPr>
    <w:r>
      <w:rPr>
        <w:noProof/>
        <w:lang w:eastAsia="es-MX"/>
      </w:rPr>
      <w:drawing>
        <wp:anchor distT="0" distB="0" distL="114300" distR="114300" simplePos="0" relativeHeight="251661312" behindDoc="1" locked="0" layoutInCell="1" allowOverlap="1" wp14:anchorId="5A9CB52A" wp14:editId="48DEEDBD">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E0" w:rsidRDefault="008468E0">
      <w:r>
        <w:separator/>
      </w:r>
    </w:p>
  </w:footnote>
  <w:footnote w:type="continuationSeparator" w:id="0">
    <w:p w:rsidR="008468E0" w:rsidRDefault="00846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28B" w:rsidRDefault="00B63C1D">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EBD9FC9" wp14:editId="2BA7D8C8">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D57">
                            <w:rPr>
                              <w:rFonts w:cstheme="minorHAnsi"/>
                              <w:b/>
                              <w:bCs/>
                              <w:lang w:val="es-ES"/>
                            </w:rPr>
                            <w:t>555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" fillcolor="white [3201]" strokecolor="black [3213]" strokeweight="2pt">
              <v:textbox>
                <w:txbxContent>
                  <w:p w:rsidR="0092028B" w:rsidRPr="0092028B" w:rsidRDefault="00B63C1D"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80D57">
                      <w:rPr>
                        <w:rFonts w:cstheme="minorHAnsi"/>
                        <w:b/>
                        <w:bCs/>
                        <w:lang w:val="es-ES"/>
                      </w:rPr>
                      <w:t>555</w:t>
                    </w:r>
                  </w:p>
                </w:txbxContent>
              </v:textbox>
            </v:rect>
          </w:pict>
        </mc:Fallback>
      </mc:AlternateContent>
    </w:r>
    <w:r>
      <w:rPr>
        <w:noProof/>
        <w:lang w:eastAsia="es-MX"/>
      </w:rPr>
      <w:drawing>
        <wp:anchor distT="0" distB="0" distL="114300" distR="114300" simplePos="0" relativeHeight="251659264" behindDoc="1" locked="0" layoutInCell="1" allowOverlap="1" wp14:anchorId="613446AC" wp14:editId="2D882268">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2028B" w:rsidRDefault="00680D5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D4934"/>
    <w:multiLevelType w:val="hybridMultilevel"/>
    <w:tmpl w:val="1E04FB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6A9A6281"/>
    <w:multiLevelType w:val="hybridMultilevel"/>
    <w:tmpl w:val="7E167E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551"/>
    <w:rsid w:val="00117666"/>
    <w:rsid w:val="00157864"/>
    <w:rsid w:val="001B57C5"/>
    <w:rsid w:val="00260077"/>
    <w:rsid w:val="002C1BD0"/>
    <w:rsid w:val="00375194"/>
    <w:rsid w:val="005B7F2F"/>
    <w:rsid w:val="00680D57"/>
    <w:rsid w:val="006A1C60"/>
    <w:rsid w:val="006E0C6D"/>
    <w:rsid w:val="007C3EE0"/>
    <w:rsid w:val="008468E0"/>
    <w:rsid w:val="00861D79"/>
    <w:rsid w:val="009526DC"/>
    <w:rsid w:val="00AF7903"/>
    <w:rsid w:val="00B120D5"/>
    <w:rsid w:val="00B63C1D"/>
    <w:rsid w:val="00C13F68"/>
    <w:rsid w:val="00C17551"/>
    <w:rsid w:val="00D46194"/>
    <w:rsid w:val="00D64B57"/>
    <w:rsid w:val="00E90D1D"/>
    <w:rsid w:val="00FE1D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551"/>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C17551"/>
    <w:rPr>
      <w:kern w:val="2"/>
      <w14:ligatures w14:val="standardContextual"/>
    </w:rPr>
  </w:style>
  <w:style w:type="paragraph" w:styleId="Piedepgina">
    <w:name w:val="footer"/>
    <w:basedOn w:val="Normal"/>
    <w:link w:val="PiedepginaCar"/>
    <w:uiPriority w:val="99"/>
    <w:unhideWhenUsed/>
    <w:rsid w:val="00C17551"/>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C17551"/>
    <w:rPr>
      <w:kern w:val="2"/>
      <w14:ligatures w14:val="standardContextual"/>
    </w:rPr>
  </w:style>
  <w:style w:type="paragraph" w:styleId="Sinespaciado">
    <w:name w:val="No Spacing"/>
    <w:uiPriority w:val="1"/>
    <w:qFormat/>
    <w:rsid w:val="00C17551"/>
    <w:pPr>
      <w:spacing w:after="0" w:line="240" w:lineRule="auto"/>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3132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2</cp:revision>
  <dcterms:created xsi:type="dcterms:W3CDTF">2025-02-26T18:35:00Z</dcterms:created>
  <dcterms:modified xsi:type="dcterms:W3CDTF">2025-02-26T18:35:00Z</dcterms:modified>
</cp:coreProperties>
</file>